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6B" w:rsidRDefault="009D196B" w:rsidP="009D196B">
      <w:pPr>
        <w:rPr>
          <w:sz w:val="28"/>
          <w:vertAlign w:val="subscript"/>
        </w:rPr>
      </w:pPr>
    </w:p>
    <w:p w:rsidR="009D196B" w:rsidRPr="00E548AA" w:rsidRDefault="009D196B" w:rsidP="00E548AA">
      <w:pPr>
        <w:pStyle w:val="Title"/>
        <w:rPr>
          <w:b/>
          <w:color w:val="008080"/>
          <w:vertAlign w:val="subscript"/>
        </w:rPr>
      </w:pPr>
      <w:r w:rsidRPr="00E548AA">
        <w:rPr>
          <w:b/>
          <w:color w:val="008080"/>
          <w:vertAlign w:val="subscript"/>
        </w:rPr>
        <w:t>Records Management Training – Staff Comprehension Check</w:t>
      </w:r>
    </w:p>
    <w:p w:rsidR="00E548AA" w:rsidRPr="005504E8" w:rsidRDefault="00E548AA" w:rsidP="00E548AA">
      <w:pPr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What is a record?</w:t>
      </w:r>
    </w:p>
    <w:p w:rsidR="00E548AA" w:rsidRPr="00E548AA" w:rsidRDefault="00E548AA" w:rsidP="008A3843">
      <w:pPr>
        <w:ind w:left="284" w:hanging="284"/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 w:rsidRPr="00E548AA">
        <w:rPr>
          <w:rFonts w:ascii="Calibri" w:eastAsia="+mn-ea" w:hAnsi="Calibri" w:cs="+mn-cs"/>
          <w:kern w:val="24"/>
          <w:sz w:val="24"/>
          <w:szCs w:val="24"/>
        </w:rPr>
        <w:t xml:space="preserve"> You are sent an email containing a very funny cartoon from you colleague Penny.  Is the email a record?</w:t>
      </w:r>
    </w:p>
    <w:p w:rsidR="00E548AA" w:rsidRPr="00E548AA" w:rsidRDefault="00E548AA" w:rsidP="008A3843">
      <w:pPr>
        <w:ind w:left="284" w:hanging="284"/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C00000"/>
          <w:kern w:val="24"/>
          <w:sz w:val="24"/>
          <w:szCs w:val="24"/>
        </w:rPr>
        <w:t>A:</w:t>
      </w:r>
      <w:r w:rsidRPr="00E548AA">
        <w:rPr>
          <w:rFonts w:ascii="Calibri" w:eastAsia="+mn-ea" w:hAnsi="Calibri" w:cs="+mn-cs"/>
          <w:kern w:val="24"/>
          <w:sz w:val="24"/>
          <w:szCs w:val="24"/>
        </w:rPr>
        <w:t xml:space="preserve"> It depends on the purpose of the email.  If it is a cartoon sent as a cheer you up then it is not</w:t>
      </w:r>
      <w:r w:rsidR="008A3843">
        <w:rPr>
          <w:rFonts w:ascii="Calibri" w:eastAsia="+mn-ea" w:hAnsi="Calibri" w:cs="+mn-cs"/>
          <w:kern w:val="24"/>
          <w:sz w:val="24"/>
          <w:szCs w:val="24"/>
        </w:rPr>
        <w:t xml:space="preserve"> an agency record</w:t>
      </w:r>
      <w:r w:rsidRPr="00E548AA">
        <w:rPr>
          <w:rFonts w:ascii="Calibri" w:eastAsia="+mn-ea" w:hAnsi="Calibri" w:cs="+mn-cs"/>
          <w:kern w:val="24"/>
          <w:sz w:val="24"/>
          <w:szCs w:val="24"/>
        </w:rPr>
        <w:t xml:space="preserve">, however if the cartoon is a </w:t>
      </w:r>
      <w:r w:rsidR="008A3843">
        <w:rPr>
          <w:rFonts w:ascii="Calibri" w:eastAsia="+mn-ea" w:hAnsi="Calibri" w:cs="+mn-cs"/>
          <w:kern w:val="24"/>
          <w:sz w:val="24"/>
          <w:szCs w:val="24"/>
        </w:rPr>
        <w:t xml:space="preserve">final </w:t>
      </w:r>
      <w:r w:rsidRPr="00E548AA">
        <w:rPr>
          <w:rFonts w:ascii="Calibri" w:eastAsia="+mn-ea" w:hAnsi="Calibri" w:cs="+mn-cs"/>
          <w:kern w:val="24"/>
          <w:sz w:val="24"/>
          <w:szCs w:val="24"/>
        </w:rPr>
        <w:t>proof from the publicity department requiring your OK before using in your latest EDRMS campaign</w:t>
      </w:r>
      <w:r w:rsidR="008A3843">
        <w:rPr>
          <w:rFonts w:ascii="Calibri" w:eastAsia="+mn-ea" w:hAnsi="Calibri" w:cs="+mn-cs"/>
          <w:kern w:val="24"/>
          <w:sz w:val="24"/>
          <w:szCs w:val="24"/>
        </w:rPr>
        <w:t>,</w:t>
      </w:r>
      <w:r w:rsidRPr="00E548AA">
        <w:rPr>
          <w:rFonts w:ascii="Calibri" w:eastAsia="+mn-ea" w:hAnsi="Calibri" w:cs="+mn-cs"/>
          <w:kern w:val="24"/>
          <w:sz w:val="24"/>
          <w:szCs w:val="24"/>
        </w:rPr>
        <w:t xml:space="preserve"> then yes it is.</w:t>
      </w:r>
    </w:p>
    <w:p w:rsidR="00E548AA" w:rsidRPr="00E548AA" w:rsidRDefault="00E548AA" w:rsidP="00E548AA">
      <w:pPr>
        <w:rPr>
          <w:color w:val="008080"/>
          <w:sz w:val="32"/>
          <w:szCs w:val="32"/>
        </w:rPr>
      </w:pPr>
    </w:p>
    <w:p w:rsidR="00E548AA" w:rsidRPr="005504E8" w:rsidRDefault="00E548AA" w:rsidP="00E548AA">
      <w:pPr>
        <w:rPr>
          <w:color w:val="008080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Why do records matter?</w:t>
      </w:r>
    </w:p>
    <w:p w:rsidR="008A3843" w:rsidRDefault="008A3843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 w:rsidRPr="008A3843"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How does managing records and information well help you in your everyday wo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>rk?</w:t>
      </w:r>
    </w:p>
    <w:p w:rsidR="008A3843" w:rsidRDefault="008A3843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</w:p>
    <w:p w:rsidR="008A3843" w:rsidRPr="008A3843" w:rsidRDefault="008A3843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How does managing records and information well help your clients?</w:t>
      </w:r>
    </w:p>
    <w:p w:rsidR="00E548AA" w:rsidRPr="008A3843" w:rsidRDefault="00E548AA" w:rsidP="00E548AA">
      <w:pPr>
        <w:rPr>
          <w:rFonts w:ascii="Calibri" w:eastAsia="+mn-ea" w:hAnsi="Calibri" w:cs="+mn-cs"/>
          <w:color w:val="000000"/>
          <w:kern w:val="24"/>
          <w:sz w:val="32"/>
          <w:szCs w:val="32"/>
        </w:rPr>
      </w:pPr>
    </w:p>
    <w:p w:rsidR="00E548AA" w:rsidRPr="005504E8" w:rsidRDefault="005504E8" w:rsidP="00E548AA">
      <w:pPr>
        <w:rPr>
          <w:color w:val="008080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What are y</w:t>
      </w:r>
      <w:r w:rsidR="00E548AA"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our</w:t>
      </w:r>
      <w:r w:rsidR="00E548AA"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 xml:space="preserve"> </w:t>
      </w: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 xml:space="preserve">recordkeeping </w:t>
      </w:r>
      <w:r w:rsidR="00E548AA"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responsibilities?</w:t>
      </w:r>
    </w:p>
    <w:p w:rsidR="00E548AA" w:rsidRDefault="008A3843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How are you </w:t>
      </w:r>
      <w:r w:rsidR="005504E8">
        <w:rPr>
          <w:rFonts w:ascii="Calibri" w:eastAsia="+mn-ea" w:hAnsi="Calibri" w:cs="+mn-cs"/>
          <w:color w:val="000000"/>
          <w:kern w:val="24"/>
          <w:sz w:val="24"/>
          <w:szCs w:val="24"/>
        </w:rPr>
        <w:t>helping to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meet you</w:t>
      </w:r>
      <w:r w:rsidR="005504E8">
        <w:rPr>
          <w:rFonts w:ascii="Calibri" w:eastAsia="+mn-ea" w:hAnsi="Calibri" w:cs="+mn-cs"/>
          <w:color w:val="000000"/>
          <w:kern w:val="24"/>
          <w:sz w:val="24"/>
          <w:szCs w:val="24"/>
        </w:rPr>
        <w:t>r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recordkeeping responsibilities by attending today?</w:t>
      </w:r>
    </w:p>
    <w:p w:rsidR="008A3843" w:rsidRDefault="008A3843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</w:p>
    <w:p w:rsidR="008A3843" w:rsidRPr="008A3843" w:rsidRDefault="008A3843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What next steps do you need to take to ensure you </w:t>
      </w:r>
      <w:r w:rsidR="003D20B5">
        <w:rPr>
          <w:rFonts w:ascii="Calibri" w:eastAsia="+mn-ea" w:hAnsi="Calibri" w:cs="+mn-cs"/>
          <w:color w:val="000000"/>
          <w:kern w:val="24"/>
          <w:sz w:val="24"/>
          <w:szCs w:val="24"/>
        </w:rPr>
        <w:t>meet your recordkeeping responsibilities in the future?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</w:t>
      </w:r>
    </w:p>
    <w:p w:rsidR="00E548AA" w:rsidRPr="008A3843" w:rsidRDefault="00E548AA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</w:p>
    <w:p w:rsidR="00E548AA" w:rsidRPr="005504E8" w:rsidRDefault="00E548AA" w:rsidP="00E548AA">
      <w:pPr>
        <w:rPr>
          <w:color w:val="008080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When should you make or keep a record?</w:t>
      </w:r>
    </w:p>
    <w:p w:rsidR="003D20B5" w:rsidRDefault="003D20B5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What questions do you need to ask yourself to determine if you should create a record?</w:t>
      </w:r>
    </w:p>
    <w:p w:rsidR="003D20B5" w:rsidRDefault="003D20B5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</w:p>
    <w:p w:rsidR="003D20B5" w:rsidRDefault="003D20B5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How would you plan to make a record of a telephone or face to face conversation?</w:t>
      </w:r>
    </w:p>
    <w:p w:rsidR="005504E8" w:rsidRDefault="005504E8" w:rsidP="005504E8">
      <w:pPr>
        <w:rPr>
          <w:rFonts w:ascii="Calibri" w:eastAsia="+mn-ea" w:hAnsi="Calibri" w:cs="+mn-cs"/>
          <w:color w:val="008080"/>
          <w:kern w:val="24"/>
          <w:sz w:val="24"/>
          <w:szCs w:val="24"/>
          <w:lang w:val="en-AU"/>
        </w:rPr>
      </w:pPr>
    </w:p>
    <w:p w:rsidR="005504E8" w:rsidRDefault="005504E8" w:rsidP="005504E8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 w:rsidRPr="008A3843"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>In your agency w</w:t>
      </w:r>
      <w:r w:rsidRPr="008A3843"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>ho is responsible for capturing email, the sender or the receiver?</w:t>
      </w:r>
    </w:p>
    <w:p w:rsidR="008A3843" w:rsidRPr="008A3843" w:rsidRDefault="008A3843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</w:p>
    <w:p w:rsidR="00E548AA" w:rsidRPr="005504E8" w:rsidRDefault="00E548AA" w:rsidP="00E548AA">
      <w:pPr>
        <w:rPr>
          <w:color w:val="008080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Can you delete or destroy records?</w:t>
      </w:r>
    </w:p>
    <w:p w:rsidR="00E548AA" w:rsidRDefault="003D20B5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Other</w:t>
      </w:r>
      <w:r w:rsidRPr="003D20B5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>than</w:t>
      </w:r>
      <w:r w:rsidRPr="003D20B5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the Public Records Act, what other legislation needs to be considered before destroying records?</w:t>
      </w:r>
    </w:p>
    <w:p w:rsidR="003D20B5" w:rsidRDefault="003D20B5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C00000"/>
          <w:kern w:val="24"/>
          <w:sz w:val="24"/>
          <w:szCs w:val="24"/>
        </w:rPr>
        <w:t>A: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Freedom of Information Act, Crimes (Document Destruction) Act, Evidence Act, Privacy Act.</w:t>
      </w:r>
    </w:p>
    <w:p w:rsidR="003D20B5" w:rsidRDefault="003D20B5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</w:p>
    <w:p w:rsidR="003D20B5" w:rsidRDefault="003D20B5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What are the three tools that can be legally used for determining the correct disposal of </w:t>
      </w:r>
      <w:r w:rsidRPr="003D20B5">
        <w:rPr>
          <w:rFonts w:ascii="Calibri" w:eastAsia="+mn-ea" w:hAnsi="Calibri" w:cs="+mn-cs"/>
          <w:color w:val="000000"/>
          <w:kern w:val="24"/>
          <w:sz w:val="24"/>
          <w:szCs w:val="24"/>
        </w:rPr>
        <w:t>records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>?</w:t>
      </w:r>
    </w:p>
    <w:p w:rsidR="003D20B5" w:rsidRPr="003D20B5" w:rsidRDefault="003D20B5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C00000"/>
          <w:kern w:val="24"/>
          <w:sz w:val="24"/>
          <w:szCs w:val="24"/>
        </w:rPr>
        <w:t>A: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Normal Administrative Practice (NAP), Retention &amp; Disposal Authority (RDA) &amp; </w:t>
      </w:r>
      <w:r w:rsidRPr="003D20B5">
        <w:rPr>
          <w:rFonts w:ascii="Calibri" w:eastAsia="+mn-ea" w:hAnsi="Calibri" w:cs="+mn-cs"/>
          <w:color w:val="000000"/>
          <w:kern w:val="24"/>
          <w:sz w:val="24"/>
          <w:szCs w:val="24"/>
        </w:rPr>
        <w:t>Single Instance Disposal Authorities (SIDA)</w:t>
      </w:r>
    </w:p>
    <w:p w:rsidR="00E548AA" w:rsidRDefault="00E548AA" w:rsidP="00E548AA">
      <w:pPr>
        <w:rPr>
          <w:rFonts w:ascii="Calibri" w:eastAsia="+mn-ea" w:hAnsi="Calibri" w:cs="+mn-cs"/>
          <w:color w:val="000000"/>
          <w:kern w:val="24"/>
          <w:sz w:val="32"/>
          <w:szCs w:val="32"/>
        </w:rPr>
      </w:pPr>
    </w:p>
    <w:p w:rsidR="00E548AA" w:rsidRPr="005504E8" w:rsidRDefault="00E548AA" w:rsidP="00E548AA">
      <w:pPr>
        <w:rPr>
          <w:color w:val="008080"/>
          <w:sz w:val="32"/>
          <w:szCs w:val="32"/>
          <w:u w:val="single"/>
        </w:rPr>
      </w:pPr>
      <w:r w:rsidRPr="005504E8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>What about access to records?</w:t>
      </w:r>
    </w:p>
    <w:p w:rsidR="003D20B5" w:rsidRDefault="003D20B5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  <w:lang w:val="en-AU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What is the default access status for agency </w:t>
      </w:r>
      <w:r w:rsidR="005504E8"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>records?</w:t>
      </w:r>
    </w:p>
    <w:p w:rsidR="003D20B5" w:rsidRDefault="003D20B5" w:rsidP="008A3843">
      <w:pP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</w:pPr>
      <w:r w:rsidRPr="005504E8">
        <w:rPr>
          <w:rFonts w:ascii="Calibri" w:eastAsia="+mn-ea" w:hAnsi="Calibri" w:cs="+mn-cs"/>
          <w:b/>
          <w:color w:val="C00000"/>
          <w:kern w:val="24"/>
          <w:sz w:val="24"/>
          <w:szCs w:val="24"/>
          <w:lang w:val="en-AU"/>
        </w:rPr>
        <w:t>A: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 xml:space="preserve"> </w:t>
      </w:r>
      <w:r w:rsidRPr="003D20B5">
        <w:rPr>
          <w:rFonts w:ascii="Calibri" w:eastAsia="+mn-ea" w:hAnsi="Calibri" w:cs="+mn-cs"/>
          <w:color w:val="000000"/>
          <w:kern w:val="24"/>
          <w:sz w:val="24"/>
          <w:szCs w:val="24"/>
          <w:lang w:val="en-AU"/>
        </w:rPr>
        <w:t>Records should be accessible within your agency, unless access is restricted by either law or business requirement.</w:t>
      </w:r>
      <w:bookmarkStart w:id="0" w:name="_GoBack"/>
      <w:bookmarkEnd w:id="0"/>
    </w:p>
    <w:p w:rsidR="00E548AA" w:rsidRDefault="00E548AA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</w:p>
    <w:p w:rsidR="005504E8" w:rsidRPr="008A3843" w:rsidRDefault="005504E8" w:rsidP="00E548AA">
      <w:pPr>
        <w:rPr>
          <w:rFonts w:ascii="Calibri" w:eastAsia="+mn-ea" w:hAnsi="Calibri" w:cs="+mn-cs"/>
          <w:color w:val="000000"/>
          <w:kern w:val="24"/>
          <w:sz w:val="24"/>
          <w:szCs w:val="24"/>
        </w:rPr>
      </w:pPr>
      <w:r w:rsidRPr="005504E8">
        <w:rPr>
          <w:rFonts w:ascii="Calibri" w:eastAsia="+mn-ea" w:hAnsi="Calibri" w:cs="+mn-cs"/>
          <w:b/>
          <w:color w:val="008080"/>
          <w:kern w:val="24"/>
          <w:sz w:val="24"/>
          <w:szCs w:val="24"/>
        </w:rPr>
        <w:t>Q:</w:t>
      </w:r>
      <w:r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Under what basis would your agency consider restricting or limiting access to its records?</w:t>
      </w:r>
    </w:p>
    <w:p w:rsidR="006E3541" w:rsidRPr="004327A7" w:rsidRDefault="006E3541" w:rsidP="005504E8">
      <w:pPr>
        <w:pBdr>
          <w:bottom w:val="single" w:sz="8" w:space="1" w:color="DDDDDD" w:themeColor="accent1"/>
        </w:pBdr>
        <w:rPr>
          <w:sz w:val="28"/>
        </w:rPr>
      </w:pPr>
    </w:p>
    <w:sectPr w:rsidR="006E3541" w:rsidRPr="004327A7" w:rsidSect="009D196B">
      <w:headerReference w:type="default" r:id="rId9"/>
      <w:pgSz w:w="11907" w:h="16840" w:code="9"/>
      <w:pgMar w:top="1134" w:right="1134" w:bottom="1134" w:left="1134" w:header="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BB" w:rsidRDefault="00FD12BB">
      <w:r>
        <w:separator/>
      </w:r>
    </w:p>
  </w:endnote>
  <w:endnote w:type="continuationSeparator" w:id="0">
    <w:p w:rsidR="00FD12BB" w:rsidRDefault="00FD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BB" w:rsidRDefault="00FD12BB">
      <w:r>
        <w:separator/>
      </w:r>
    </w:p>
  </w:footnote>
  <w:footnote w:type="continuationSeparator" w:id="0">
    <w:p w:rsidR="00FD12BB" w:rsidRDefault="00FD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68" w:rsidRPr="00313985" w:rsidRDefault="009D196B" w:rsidP="006B6D68">
    <w:pPr>
      <w:pStyle w:val="Header"/>
      <w:tabs>
        <w:tab w:val="clear" w:pos="4320"/>
        <w:tab w:val="clear" w:pos="8640"/>
        <w:tab w:val="left" w:pos="2370"/>
      </w:tabs>
      <w:ind w:left="-142"/>
      <w:jc w:val="both"/>
      <w:rPr>
        <w:vertAlign w:val="subscript"/>
      </w:rPr>
    </w:pPr>
    <w:r w:rsidRPr="009E5DD9">
      <w:rPr>
        <w:noProof/>
        <w:sz w:val="28"/>
        <w:lang w:val="en-AU" w:eastAsia="en-AU"/>
      </w:rPr>
      <w:drawing>
        <wp:anchor distT="0" distB="0" distL="114300" distR="114300" simplePos="0" relativeHeight="251661312" behindDoc="1" locked="0" layoutInCell="1" allowOverlap="1" wp14:anchorId="19716FE7" wp14:editId="2FDEAB97">
          <wp:simplePos x="0" y="0"/>
          <wp:positionH relativeFrom="column">
            <wp:posOffset>-824865</wp:posOffset>
          </wp:positionH>
          <wp:positionV relativeFrom="paragraph">
            <wp:posOffset>-635</wp:posOffset>
          </wp:positionV>
          <wp:extent cx="7665720" cy="795655"/>
          <wp:effectExtent l="0" t="0" r="0" b="0"/>
          <wp:wrapNone/>
          <wp:docPr id="4" name="Picture 4" descr="D:\Foto Stefan\Proiecte\easurre\lh2e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to Stefan\Proiecte\easurre\lh2e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2BB">
      <w:rPr>
        <w:noProof/>
        <w:lang w:val="en-AU" w:eastAsia="en-AU"/>
      </w:rPr>
      <w:pict>
        <v:group id="_x0000_s2054" style="position:absolute;left:0;text-align:left;margin-left:192.05pt;margin-top:19.75pt;width:181.2pt;height:28.5pt;z-index:251660288;mso-position-horizontal-relative:text;mso-position-vertical-relative:text" coordorigin="3841,396" coordsize="3624,57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3841;top:400;width:1740;height:55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" filled="f" stroked="f" strokecolor="white">
            <v:textbox>
              <w:txbxContent>
                <w:p w:rsidR="00FA3207" w:rsidRPr="00B8549F" w:rsidRDefault="00AC0D11" w:rsidP="00FA3207">
                  <w:pP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PO BOX 1370</w:t>
                  </w:r>
                </w:p>
                <w:p w:rsidR="00FA3207" w:rsidRPr="00B8549F" w:rsidRDefault="00AC0D11" w:rsidP="00FA3207">
                  <w:pP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North Fitzroy 3068</w:t>
                  </w:r>
                </w:p>
              </w:txbxContent>
            </v:textbox>
          </v:shape>
          <v:shape id="Text Box 3" o:spid="_x0000_s2051" type="#_x0000_t202" style="position:absolute;left:5890;top:396;width:1575;height:5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" filled="f" stroked="f" strokecolor="white">
            <v:textbox>
              <w:txbxContent>
                <w:p w:rsidR="00FA3207" w:rsidRPr="00B8549F" w:rsidRDefault="00AC0D11" w:rsidP="00FA3207">
                  <w:pP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Toula Varvarigos</w:t>
                  </w:r>
                </w:p>
                <w:p w:rsidR="00FA3207" w:rsidRPr="00B8549F" w:rsidRDefault="00AC0D11" w:rsidP="00FA3207">
                  <w:pP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0409 814 286</w:t>
                  </w:r>
                </w:p>
              </w:txbxContent>
            </v:textbox>
          </v:shape>
        </v:group>
      </w:pict>
    </w:r>
    <w:r w:rsidR="00626F8D">
      <w:rPr>
        <w:vertAlign w:val="subscript"/>
      </w:rPr>
      <w:softHyphen/>
    </w:r>
    <w:r w:rsidR="00626F8D">
      <w:rPr>
        <w:vertAlign w:val="subscript"/>
      </w:rPr>
      <w:softHyphen/>
    </w:r>
    <w:r w:rsidR="00626F8D"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08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3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D0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A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2CB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D69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49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6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F4C6E"/>
    <w:multiLevelType w:val="hybridMultilevel"/>
    <w:tmpl w:val="4AB0BB00"/>
    <w:lvl w:ilvl="0" w:tplc="769A8474">
      <w:start w:val="1"/>
      <w:numFmt w:val="bullet"/>
      <w:lvlText w:val=""/>
      <w:lvlJc w:val="left"/>
      <w:pPr>
        <w:ind w:left="720" w:hanging="360"/>
      </w:pPr>
      <w:rPr>
        <w:rFonts w:ascii="Webdings" w:hAnsi="Webdings" w:hint="default"/>
        <w:color w:val="0080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D4CAE"/>
    <w:multiLevelType w:val="hybridMultilevel"/>
    <w:tmpl w:val="E334BCEA"/>
    <w:lvl w:ilvl="0" w:tplc="0178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6B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6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6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C2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C0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D1134A"/>
    <w:multiLevelType w:val="hybridMultilevel"/>
    <w:tmpl w:val="4ED25EC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4C4"/>
    <w:rsid w:val="00030360"/>
    <w:rsid w:val="0003781C"/>
    <w:rsid w:val="00070ECB"/>
    <w:rsid w:val="000A2A16"/>
    <w:rsid w:val="000A54EB"/>
    <w:rsid w:val="001252B6"/>
    <w:rsid w:val="00144650"/>
    <w:rsid w:val="001A192E"/>
    <w:rsid w:val="001D4767"/>
    <w:rsid w:val="001D75E7"/>
    <w:rsid w:val="00256417"/>
    <w:rsid w:val="00313985"/>
    <w:rsid w:val="00332EC9"/>
    <w:rsid w:val="003D20B5"/>
    <w:rsid w:val="004327A7"/>
    <w:rsid w:val="00443D4A"/>
    <w:rsid w:val="0046327D"/>
    <w:rsid w:val="004678D3"/>
    <w:rsid w:val="00473555"/>
    <w:rsid w:val="00476905"/>
    <w:rsid w:val="00485B80"/>
    <w:rsid w:val="0054059E"/>
    <w:rsid w:val="005504E8"/>
    <w:rsid w:val="005E0C67"/>
    <w:rsid w:val="006059B3"/>
    <w:rsid w:val="00612527"/>
    <w:rsid w:val="00626F8D"/>
    <w:rsid w:val="00651ADF"/>
    <w:rsid w:val="006B6D68"/>
    <w:rsid w:val="006E3541"/>
    <w:rsid w:val="007531A3"/>
    <w:rsid w:val="00792308"/>
    <w:rsid w:val="007A0C9F"/>
    <w:rsid w:val="007F2832"/>
    <w:rsid w:val="007F55A0"/>
    <w:rsid w:val="0082032C"/>
    <w:rsid w:val="008372FA"/>
    <w:rsid w:val="00850B5B"/>
    <w:rsid w:val="00894A3E"/>
    <w:rsid w:val="008A3843"/>
    <w:rsid w:val="008D5D76"/>
    <w:rsid w:val="00906B8C"/>
    <w:rsid w:val="0093058F"/>
    <w:rsid w:val="009D196B"/>
    <w:rsid w:val="009E5DD9"/>
    <w:rsid w:val="00A725FB"/>
    <w:rsid w:val="00AA52A1"/>
    <w:rsid w:val="00AB1821"/>
    <w:rsid w:val="00AB5E0D"/>
    <w:rsid w:val="00AC0D11"/>
    <w:rsid w:val="00AC6519"/>
    <w:rsid w:val="00AF13F0"/>
    <w:rsid w:val="00B154C4"/>
    <w:rsid w:val="00B24CD4"/>
    <w:rsid w:val="00B33B83"/>
    <w:rsid w:val="00B456D1"/>
    <w:rsid w:val="00B75CCC"/>
    <w:rsid w:val="00B8549F"/>
    <w:rsid w:val="00BE6EDE"/>
    <w:rsid w:val="00C25770"/>
    <w:rsid w:val="00C9291A"/>
    <w:rsid w:val="00CE4A34"/>
    <w:rsid w:val="00D53C7E"/>
    <w:rsid w:val="00D76EA7"/>
    <w:rsid w:val="00DC049F"/>
    <w:rsid w:val="00DD5F03"/>
    <w:rsid w:val="00E41CAC"/>
    <w:rsid w:val="00E548AA"/>
    <w:rsid w:val="00E91932"/>
    <w:rsid w:val="00F06A7E"/>
    <w:rsid w:val="00F538F5"/>
    <w:rsid w:val="00F57DAD"/>
    <w:rsid w:val="00F612C4"/>
    <w:rsid w:val="00F65EF9"/>
    <w:rsid w:val="00F7030A"/>
    <w:rsid w:val="00FA3207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qFormat/>
    <w:rsid w:val="00E548AA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548A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E548AA"/>
    <w:pPr>
      <w:ind w:left="720"/>
      <w:contextualSpacing/>
    </w:pPr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BCC2-F468-4D05-8B6F-2AEE3F4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Hit Mail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Calin Clej</dc:creator>
  <cp:lastModifiedBy>feckle</cp:lastModifiedBy>
  <cp:revision>2</cp:revision>
  <cp:lastPrinted>2002-02-04T08:11:00Z</cp:lastPrinted>
  <dcterms:created xsi:type="dcterms:W3CDTF">2011-08-04T12:00:00Z</dcterms:created>
  <dcterms:modified xsi:type="dcterms:W3CDTF">2011-08-04T12:00:00Z</dcterms:modified>
</cp:coreProperties>
</file>